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39EA" w:rsidRPr="000539EA" w:rsidRDefault="00FA7BD8">
      <w:pPr>
        <w:rPr>
          <w:b/>
          <w:sz w:val="28"/>
        </w:rPr>
      </w:pPr>
      <w:r>
        <w:rPr>
          <w:b/>
          <w:sz w:val="28"/>
        </w:rPr>
        <w:t>Audit Evidence</w:t>
      </w:r>
    </w:p>
    <w:tbl>
      <w:tblPr>
        <w:tblStyle w:val="TableGrid"/>
        <w:tblW w:w="0" w:type="auto"/>
        <w:tblInd w:w="108" w:type="dxa"/>
        <w:tblCellMar>
          <w:top w:w="58" w:type="dxa"/>
          <w:left w:w="115" w:type="dxa"/>
          <w:bottom w:w="58" w:type="dxa"/>
          <w:right w:w="115" w:type="dxa"/>
        </w:tblCellMar>
        <w:tblLook w:val="04A0" w:firstRow="1" w:lastRow="0" w:firstColumn="1" w:lastColumn="0" w:noHBand="0" w:noVBand="1"/>
      </w:tblPr>
      <w:tblGrid>
        <w:gridCol w:w="2250"/>
        <w:gridCol w:w="10350"/>
        <w:gridCol w:w="1710"/>
      </w:tblGrid>
      <w:tr w:rsidR="00DB05ED" w:rsidRPr="006120FD" w:rsidTr="005D1E85">
        <w:trPr>
          <w:trHeight w:val="773"/>
          <w:tblHeader/>
        </w:trPr>
        <w:tc>
          <w:tcPr>
            <w:tcW w:w="2250" w:type="dxa"/>
            <w:shd w:val="clear" w:color="auto" w:fill="0070C0"/>
            <w:vAlign w:val="center"/>
          </w:tcPr>
          <w:p w:rsidR="00DB05ED" w:rsidRDefault="00DB05ED" w:rsidP="00727716">
            <w:pPr>
              <w:jc w:val="center"/>
              <w:rPr>
                <w:b/>
                <w:color w:val="FFFFFF" w:themeColor="background1"/>
              </w:rPr>
            </w:pPr>
            <w:r>
              <w:rPr>
                <w:b/>
                <w:color w:val="FFFFFF" w:themeColor="background1"/>
              </w:rPr>
              <w:t>Audit Evidence</w:t>
            </w:r>
          </w:p>
          <w:p w:rsidR="00DB05ED" w:rsidRPr="006120FD" w:rsidRDefault="00DB05ED" w:rsidP="00727716">
            <w:pPr>
              <w:jc w:val="center"/>
              <w:rPr>
                <w:b/>
                <w:color w:val="FFFFFF" w:themeColor="background1"/>
              </w:rPr>
            </w:pPr>
            <w:r w:rsidRPr="006120FD">
              <w:rPr>
                <w:b/>
                <w:color w:val="FFFFFF" w:themeColor="background1"/>
              </w:rPr>
              <w:t>(per PCAOB AS 15)</w:t>
            </w:r>
          </w:p>
        </w:tc>
        <w:tc>
          <w:tcPr>
            <w:tcW w:w="10350" w:type="dxa"/>
            <w:shd w:val="clear" w:color="auto" w:fill="0070C0"/>
            <w:vAlign w:val="center"/>
          </w:tcPr>
          <w:p w:rsidR="00DB05ED" w:rsidRDefault="00DB05ED" w:rsidP="00727716">
            <w:pPr>
              <w:jc w:val="center"/>
              <w:rPr>
                <w:b/>
                <w:color w:val="FFFFFF" w:themeColor="background1"/>
              </w:rPr>
            </w:pPr>
            <w:r w:rsidRPr="006120FD">
              <w:rPr>
                <w:b/>
                <w:color w:val="FFFFFF" w:themeColor="background1"/>
              </w:rPr>
              <w:t>PCAOB Description</w:t>
            </w:r>
          </w:p>
          <w:p w:rsidR="00DB05ED" w:rsidRPr="006120FD" w:rsidRDefault="00DB05ED" w:rsidP="00727716">
            <w:pPr>
              <w:jc w:val="center"/>
              <w:rPr>
                <w:b/>
                <w:color w:val="FFFFFF" w:themeColor="background1"/>
              </w:rPr>
            </w:pPr>
            <w:r w:rsidRPr="006120FD">
              <w:rPr>
                <w:b/>
                <w:color w:val="FFFFFF" w:themeColor="background1"/>
              </w:rPr>
              <w:t>(per PCAOB AS 15)</w:t>
            </w:r>
          </w:p>
        </w:tc>
        <w:tc>
          <w:tcPr>
            <w:tcW w:w="1710" w:type="dxa"/>
            <w:tcBorders>
              <w:bottom w:val="single" w:sz="4" w:space="0" w:color="auto"/>
            </w:tcBorders>
            <w:shd w:val="clear" w:color="auto" w:fill="0070C0"/>
            <w:vAlign w:val="center"/>
          </w:tcPr>
          <w:p w:rsidR="00DB05ED" w:rsidRPr="006120FD" w:rsidRDefault="00DB05ED" w:rsidP="00DB05ED">
            <w:pPr>
              <w:jc w:val="center"/>
              <w:rPr>
                <w:b/>
                <w:color w:val="FFFFFF" w:themeColor="background1"/>
              </w:rPr>
            </w:pPr>
            <w:r>
              <w:rPr>
                <w:b/>
                <w:color w:val="FFFFFF" w:themeColor="background1"/>
              </w:rPr>
              <w:t>Reliability</w:t>
            </w:r>
          </w:p>
        </w:tc>
      </w:tr>
      <w:tr w:rsidR="00DB05ED" w:rsidTr="005D1E85">
        <w:tc>
          <w:tcPr>
            <w:tcW w:w="2250" w:type="dxa"/>
          </w:tcPr>
          <w:p w:rsidR="00DB05ED" w:rsidRPr="00DB05ED" w:rsidRDefault="00DB05ED" w:rsidP="003E1152">
            <w:pPr>
              <w:rPr>
                <w:b/>
              </w:rPr>
            </w:pPr>
            <w:r w:rsidRPr="00DB05ED">
              <w:rPr>
                <w:b/>
              </w:rPr>
              <w:t>Confirmation</w:t>
            </w:r>
          </w:p>
        </w:tc>
        <w:tc>
          <w:tcPr>
            <w:tcW w:w="10350" w:type="dxa"/>
          </w:tcPr>
          <w:p w:rsidR="00DB05ED" w:rsidRDefault="00DB05ED" w:rsidP="003E1152">
            <w:pPr>
              <w:rPr>
                <w:rFonts w:ascii="Verdana" w:hAnsi="Verdana" w:cs="Arial"/>
                <w:color w:val="000000"/>
                <w:sz w:val="19"/>
                <w:szCs w:val="19"/>
              </w:rPr>
            </w:pPr>
            <w:r>
              <w:rPr>
                <w:rFonts w:ascii="Verdana" w:hAnsi="Verdana" w:cs="Arial"/>
                <w:color w:val="000000"/>
                <w:sz w:val="19"/>
                <w:szCs w:val="19"/>
              </w:rPr>
              <w:t>A confirmation response represents a particular form of audit evidence obtained by the auditor from a third party in accordance with PCAOB standards</w:t>
            </w:r>
          </w:p>
          <w:p w:rsidR="00D34473" w:rsidRDefault="00D34473" w:rsidP="003E1152"/>
        </w:tc>
        <w:tc>
          <w:tcPr>
            <w:tcW w:w="1710" w:type="dxa"/>
            <w:tcBorders>
              <w:bottom w:val="nil"/>
            </w:tcBorders>
          </w:tcPr>
          <w:p w:rsidR="00DB05ED" w:rsidRDefault="005D1E85" w:rsidP="003E1152">
            <w:pPr>
              <w:rPr>
                <w:b/>
                <w:noProof/>
                <w:color w:val="FFFFFF" w:themeColor="background1"/>
              </w:rPr>
            </w:pPr>
            <w:r>
              <w:rPr>
                <w:b/>
                <w:noProof/>
                <w:color w:val="FFFFFF" w:themeColor="background1"/>
              </w:rPr>
              <mc:AlternateContent>
                <mc:Choice Requires="wps">
                  <w:drawing>
                    <wp:anchor distT="0" distB="0" distL="114300" distR="114300" simplePos="0" relativeHeight="251665408" behindDoc="0" locked="0" layoutInCell="1" allowOverlap="1" wp14:anchorId="4E915F08" wp14:editId="39F79B82">
                      <wp:simplePos x="0" y="0"/>
                      <wp:positionH relativeFrom="column">
                        <wp:posOffset>36195</wp:posOffset>
                      </wp:positionH>
                      <wp:positionV relativeFrom="paragraph">
                        <wp:posOffset>229870</wp:posOffset>
                      </wp:positionV>
                      <wp:extent cx="857250" cy="295275"/>
                      <wp:effectExtent l="0" t="0" r="0" b="0"/>
                      <wp:wrapNone/>
                      <wp:docPr id="2" name="Text Box 2"/>
                      <wp:cNvGraphicFramePr/>
                      <a:graphic xmlns:a="http://schemas.openxmlformats.org/drawingml/2006/main">
                        <a:graphicData uri="http://schemas.microsoft.com/office/word/2010/wordprocessingShape">
                          <wps:wsp>
                            <wps:cNvSpPr txBox="1"/>
                            <wps:spPr>
                              <a:xfrm>
                                <a:off x="0" y="0"/>
                                <a:ext cx="857250" cy="295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B05ED" w:rsidRPr="00DB05ED" w:rsidRDefault="00DB05ED" w:rsidP="00DB05ED">
                                  <w:pPr>
                                    <w:jc w:val="center"/>
                                    <w:rPr>
                                      <w:b/>
                                      <w:color w:val="0070C0"/>
                                    </w:rPr>
                                  </w:pPr>
                                  <w:r w:rsidRPr="00DB05ED">
                                    <w:rPr>
                                      <w:b/>
                                      <w:color w:val="0070C0"/>
                                    </w:rPr>
                                    <w:t>Stronger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85pt;margin-top:18.1pt;width:67.5pt;height:23.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CcRfQIAAGgFAAAOAAAAZHJzL2Uyb0RvYy54bWysVEtv2zAMvg/YfxB0X514SR9BnSJL0WFA&#10;0RZLhp4VWUqMSaImKbGzXz9KtpMs26XDLjZFfqL4+Mjbu0YrshPOV2AKOrwYUCIMh7Iy64J+Wz58&#10;uKbEB2ZKpsCIgu6Fp3fT9+9uazsROWxAlcIRdGL8pLYF3YRgJ1nm+UZo5i/ACoNGCU6zgEe3zkrH&#10;avSuVZYPBpdZDa60DrjwHrX3rZFOk38pBQ/PUnoRiCooxhbS16XvKn6z6S2brB2zm4p3YbB/iEKz&#10;yuCjB1f3LDCyddUfrnTFHXiQ4YKDzkDKiouUA2YzHJxls9gwK1IuWBxvD2Xy/88tf9q9OFKVBc0p&#10;MUxji5aiCeQTNCSP1amtnyBoYREWGlRjl3u9R2VMupFOxz+mQ9COdd4fahudcVRej6/yMVo4mvKb&#10;cX41jl6y42XrfPgsQJMoFNRh61JF2e7RhxbaQ+JbBh4qpVL7lCF1QS8/ovvfLOhcmagRiQidm5hQ&#10;G3iSwl6JiFHmq5BYiBR/VCQKirlyZMeQPIxzYUJKPflFdERJDOItFzv8Maq3XG7z6F8GEw6XdWXA&#10;pezPwi6/9yHLFo81P8k7iqFZNYkBh76uoNxjux204+Itf6iwKY/MhxfmcD6wjzjz4Rk/UgEWHzqJ&#10;kg24n3/TRzzSFq2U1DhvBfU/tswJStQXg4S+GY5GcUDTYYRkwYM7taxOLWar54BdGeJ2sTyJER9U&#10;L0oH+hVXwyy+iiZmOL5d0NCL89BuAVwtXMxmCYQjaVl4NAvLo+vYpEi5ZfPKnO14GZDQT9BPJpuc&#10;0bPFxpsGZtsAskrcjXVuq9rVH8c5sb9bPXFfnJ4T6rggp78AAAD//wMAUEsDBBQABgAIAAAAIQD2&#10;LUiL3QAAAAcBAAAPAAAAZHJzL2Rvd25yZXYueG1sTI7NTsMwEITvSLyDtUjcqEOgbRTiVFWkCgnB&#10;oaUXbpt4m0TY6xC7beDpcU9wnB/NfMVqskacaPS9YwX3swQEceN0z62C/fvmLgPhA7JG45gUfJOH&#10;VXl9VWCu3Zm3dNqFVsQR9jkq6EIYcil905FFP3MDccwObrQYohxbqUc8x3FrZJokC2mx5/jQ4UBV&#10;R83n7mgVvFSbN9zWqc1+TPX8elgPX/uPuVK3N9P6CUSgKfyV4YIf0aGMTLU7svbCKJgvY1HBwyIF&#10;cYkfk2jUCrJ0CbIs5H/+8hcAAP//AwBQSwECLQAUAAYACAAAACEAtoM4kv4AAADhAQAAEwAAAAAA&#10;AAAAAAAAAAAAAAAAW0NvbnRlbnRfVHlwZXNdLnhtbFBLAQItABQABgAIAAAAIQA4/SH/1gAAAJQB&#10;AAALAAAAAAAAAAAAAAAAAC8BAABfcmVscy8ucmVsc1BLAQItABQABgAIAAAAIQBWTCcRfQIAAGgF&#10;AAAOAAAAAAAAAAAAAAAAAC4CAABkcnMvZTJvRG9jLnhtbFBLAQItABQABgAIAAAAIQD2LUiL3QAA&#10;AAcBAAAPAAAAAAAAAAAAAAAAANcEAABkcnMvZG93bnJldi54bWxQSwUGAAAAAAQABADzAAAA4QUA&#10;AAAA&#10;" filled="f" stroked="f" strokeweight=".5pt">
                      <v:textbox>
                        <w:txbxContent>
                          <w:p w:rsidR="00DB05ED" w:rsidRPr="00DB05ED" w:rsidRDefault="00DB05ED" w:rsidP="00DB05ED">
                            <w:pPr>
                              <w:jc w:val="center"/>
                              <w:rPr>
                                <w:b/>
                                <w:color w:val="0070C0"/>
                              </w:rPr>
                            </w:pPr>
                            <w:r w:rsidRPr="00DB05ED">
                              <w:rPr>
                                <w:b/>
                                <w:color w:val="0070C0"/>
                              </w:rPr>
                              <w:t>Stronger</w:t>
                            </w:r>
                          </w:p>
                        </w:txbxContent>
                      </v:textbox>
                    </v:shape>
                  </w:pict>
                </mc:Fallback>
              </mc:AlternateContent>
            </w:r>
          </w:p>
        </w:tc>
      </w:tr>
      <w:tr w:rsidR="00DB05ED" w:rsidTr="005D1E85">
        <w:tc>
          <w:tcPr>
            <w:tcW w:w="2250" w:type="dxa"/>
          </w:tcPr>
          <w:p w:rsidR="00DB05ED" w:rsidRPr="00DB05ED" w:rsidRDefault="00DB05ED" w:rsidP="00911F50">
            <w:pPr>
              <w:rPr>
                <w:b/>
              </w:rPr>
            </w:pPr>
            <w:r w:rsidRPr="00DB05ED">
              <w:rPr>
                <w:b/>
              </w:rPr>
              <w:t>Reperformance</w:t>
            </w:r>
          </w:p>
        </w:tc>
        <w:tc>
          <w:tcPr>
            <w:tcW w:w="10350" w:type="dxa"/>
          </w:tcPr>
          <w:p w:rsidR="00DB05ED" w:rsidRDefault="00DB05ED" w:rsidP="00911F50">
            <w:pPr>
              <w:rPr>
                <w:rFonts w:ascii="Verdana" w:hAnsi="Verdana" w:cs="Arial"/>
                <w:color w:val="000000"/>
                <w:sz w:val="19"/>
                <w:szCs w:val="19"/>
              </w:rPr>
            </w:pPr>
            <w:r>
              <w:rPr>
                <w:rFonts w:ascii="Verdana" w:hAnsi="Verdana" w:cs="Arial"/>
                <w:color w:val="000000"/>
                <w:sz w:val="19"/>
                <w:szCs w:val="19"/>
              </w:rPr>
              <w:t>Reperformance involves the independent execution of procedures or controls that were originally performed by company personnel.</w:t>
            </w:r>
          </w:p>
          <w:p w:rsidR="00D34473" w:rsidRDefault="00D34473" w:rsidP="00911F50"/>
        </w:tc>
        <w:tc>
          <w:tcPr>
            <w:tcW w:w="1710" w:type="dxa"/>
            <w:tcBorders>
              <w:top w:val="nil"/>
              <w:bottom w:val="nil"/>
            </w:tcBorders>
          </w:tcPr>
          <w:p w:rsidR="00DB05ED" w:rsidRDefault="00DB05ED" w:rsidP="00911F50">
            <w:pPr>
              <w:rPr>
                <w:rFonts w:ascii="Verdana" w:hAnsi="Verdana" w:cs="Arial"/>
                <w:color w:val="000000"/>
                <w:sz w:val="19"/>
                <w:szCs w:val="19"/>
              </w:rPr>
            </w:pPr>
          </w:p>
        </w:tc>
      </w:tr>
      <w:tr w:rsidR="00DB05ED" w:rsidTr="005D1E85">
        <w:tc>
          <w:tcPr>
            <w:tcW w:w="2250" w:type="dxa"/>
          </w:tcPr>
          <w:p w:rsidR="00DB05ED" w:rsidRPr="00DB05ED" w:rsidRDefault="00DB05ED" w:rsidP="00284CCC">
            <w:pPr>
              <w:rPr>
                <w:b/>
              </w:rPr>
            </w:pPr>
            <w:r w:rsidRPr="00DB05ED">
              <w:rPr>
                <w:b/>
              </w:rPr>
              <w:t>Recalculation</w:t>
            </w:r>
          </w:p>
        </w:tc>
        <w:tc>
          <w:tcPr>
            <w:tcW w:w="10350" w:type="dxa"/>
          </w:tcPr>
          <w:p w:rsidR="00DB05ED" w:rsidRDefault="00DB05ED" w:rsidP="00284CCC">
            <w:pPr>
              <w:rPr>
                <w:rFonts w:ascii="Verdana" w:hAnsi="Verdana" w:cs="Arial"/>
                <w:color w:val="000000"/>
                <w:sz w:val="19"/>
                <w:szCs w:val="19"/>
              </w:rPr>
            </w:pPr>
            <w:r>
              <w:rPr>
                <w:rFonts w:ascii="Verdana" w:hAnsi="Verdana" w:cs="Arial"/>
                <w:color w:val="000000"/>
                <w:sz w:val="19"/>
                <w:szCs w:val="19"/>
              </w:rPr>
              <w:t>Recalculation consists of checking the mathematical accuracy of documents or records. Recalculation may be performed manually or electronically.</w:t>
            </w:r>
          </w:p>
          <w:p w:rsidR="00D34473" w:rsidRDefault="00D34473" w:rsidP="00284CCC"/>
        </w:tc>
        <w:tc>
          <w:tcPr>
            <w:tcW w:w="1710" w:type="dxa"/>
            <w:tcBorders>
              <w:top w:val="nil"/>
              <w:bottom w:val="nil"/>
            </w:tcBorders>
          </w:tcPr>
          <w:p w:rsidR="00DB05ED" w:rsidRDefault="005D1E85" w:rsidP="00284CCC">
            <w:pPr>
              <w:rPr>
                <w:b/>
                <w:noProof/>
                <w:color w:val="FFFFFF" w:themeColor="background1"/>
              </w:rPr>
            </w:pPr>
            <w:r>
              <w:rPr>
                <w:b/>
                <w:noProof/>
                <w:color w:val="FFFFFF" w:themeColor="background1"/>
              </w:rPr>
              <mc:AlternateContent>
                <mc:Choice Requires="wps">
                  <w:drawing>
                    <wp:anchor distT="0" distB="0" distL="114300" distR="114300" simplePos="0" relativeHeight="251664384" behindDoc="0" locked="0" layoutInCell="1" allowOverlap="1" wp14:anchorId="57C01A26" wp14:editId="7FB7F5FF">
                      <wp:simplePos x="0" y="0"/>
                      <wp:positionH relativeFrom="column">
                        <wp:posOffset>360045</wp:posOffset>
                      </wp:positionH>
                      <wp:positionV relativeFrom="paragraph">
                        <wp:posOffset>-22225</wp:posOffset>
                      </wp:positionV>
                      <wp:extent cx="219075" cy="3352800"/>
                      <wp:effectExtent l="19050" t="19050" r="28575" b="38100"/>
                      <wp:wrapNone/>
                      <wp:docPr id="1" name="Up-Down Arrow 1"/>
                      <wp:cNvGraphicFramePr/>
                      <a:graphic xmlns:a="http://schemas.openxmlformats.org/drawingml/2006/main">
                        <a:graphicData uri="http://schemas.microsoft.com/office/word/2010/wordprocessingShape">
                          <wps:wsp>
                            <wps:cNvSpPr/>
                            <wps:spPr>
                              <a:xfrm>
                                <a:off x="0" y="0"/>
                                <a:ext cx="219075" cy="3352800"/>
                              </a:xfrm>
                              <a:prstGeom prst="upDownArrow">
                                <a:avLst/>
                              </a:prstGeom>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Up-Down Arrow 1" o:spid="_x0000_s1026" type="#_x0000_t70" style="position:absolute;margin-left:28.35pt;margin-top:-1.75pt;width:17.25pt;height:264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2+gp3QIAANsGAAAOAAAAZHJzL2Uyb0RvYy54bWysVVtP2zAUfp+0/2D5HZKUlktEiioQ0yQG&#10;1QDxbBynieT4eLbbtPv1O7aT0DHENLSX9Njn/vmcr+cX21aSjTC2AVXQ7DClRCgOZaNWBX18uD44&#10;pcQ6pkomQYmC7oSlF/PPn847nYsJ1CBLYQgGUTbvdEFr53SeJJbXomX2ELRQqKzAtMzh0ayS0rAO&#10;o7cymaTpcdKBKbUBLqzF26uopPMQv6oEd3dVZYUjsqBYmwtfE77P/pvMz1m+MkzXDe/LYB+oomWN&#10;wqRjqCvmGFmb5o9QbcMNWKjcIYc2gapquAg9YDdZ+qqb+5ppEXpBcKweYbL/Lyy/3SwNaUp8O0oU&#10;a/GJHvXBFXSKLIyBjmQeok7bHC3v9dL0J4ui73dbmdb/YidkG2DdjbCKrSMcLyfZWXoyo4Sj6uho&#10;NjlNA+7Ji7c21n0R0BIvFHStfQEhfwCVbW6sw8ToMVj2WJfXjZRBtmgSBaIBAUqDZ5gjcSkN2TCc&#10;AMa5UC4LKtcoF2+Pj9NYEcstc9+gjNeZvx4qHQOFKlZ2P9Us2Pmb0eq9dNMpOsTB+1C6zKf7h/Ym&#10;Rx/Jh1ivBkxlowjzCz2bxtzEciYFDs0AD25Q/xSJn5U4HUFyOyk8NFJ9FxUOmp+Hvz2NrVkpIoQR&#10;2/j2I7rhDUJAH7nCERhjx7cdLX9/hximt/euIjDE6PwuqNF59AiZQbnRuW0UmLc6kzhwfeZoj+Xv&#10;QePFZyh3uIYGIj9Zza8b3IQbZt2SGSQkpC4kWXeHn0pCV1DoJUpqMD/fuvf2yBOopaRDgiuo/bFm&#10;RlAivypckLNsOvWMGA7T2ckED2Zf87yvUev2EnCDkCWwuiB6eycHsTLQPiEXL3xWVDHFMXdBuTPD&#10;4dJF4kU252KxCGbIgpq5G3WvuQ/uUfUr/rB9Ykb3dOCQSG5hIEOWv6KDaOs9FSzWDqomcMULrj3e&#10;yKBxeSPbe4rePwerl/+k+S8AAAD//wMAUEsDBBQABgAIAAAAIQDNndaK3QAAAAgBAAAPAAAAZHJz&#10;L2Rvd25yZXYueG1sTI/BTsMwEETvSPyDtUjcWjuBpCXEqapK/QAXhODmxts4ENtR7Lbh71lOcJyd&#10;0czbejO7gV1win3wErKlAIa+Dab3nYTXl/1iDSwm7Y0egkcJ3xhh09ze1Loy4eoVXg6pY1TiY6Ul&#10;2JTGivPYWnQ6LsOInrxTmJxOJKeOm0lfqdwNPBei5E73nhasHnFnsf06nJ2EHRfvH2orTqYwyqjP&#10;t70qbSbl/d28fQaWcE5/YfjFJ3RoiOkYzt5ENkgoyhUlJSweCmDkP2U5sCPd88cCeFPz/w80PwAA&#10;AP//AwBQSwECLQAUAAYACAAAACEAtoM4kv4AAADhAQAAEwAAAAAAAAAAAAAAAAAAAAAAW0NvbnRl&#10;bnRfVHlwZXNdLnhtbFBLAQItABQABgAIAAAAIQA4/SH/1gAAAJQBAAALAAAAAAAAAAAAAAAAAC8B&#10;AABfcmVscy8ucmVsc1BLAQItABQABgAIAAAAIQBx2+gp3QIAANsGAAAOAAAAAAAAAAAAAAAAAC4C&#10;AABkcnMvZTJvRG9jLnhtbFBLAQItABQABgAIAAAAIQDNndaK3QAAAAgBAAAPAAAAAAAAAAAAAAAA&#10;ADcFAABkcnMvZG93bnJldi54bWxQSwUGAAAAAAQABADzAAAAQQYAAAAA&#10;" adj=",706" fillcolor="#8aabd3 [2132]" strokecolor="#243f60 [1604]" strokeweight="2pt">
                      <v:fill color2="#d6e2f0 [756]" colors="0 #9ab5e4;.5 #c2d1ed;1 #e1e8f5" focus="100%" type="gradient">
                        <o:fill v:ext="view" type="gradientUnscaled"/>
                      </v:fill>
                    </v:shape>
                  </w:pict>
                </mc:Fallback>
              </mc:AlternateContent>
            </w:r>
          </w:p>
        </w:tc>
      </w:tr>
      <w:tr w:rsidR="00DB05ED" w:rsidTr="005D1E85">
        <w:tc>
          <w:tcPr>
            <w:tcW w:w="2250" w:type="dxa"/>
          </w:tcPr>
          <w:p w:rsidR="00DB05ED" w:rsidRPr="00DB05ED" w:rsidRDefault="00DB05ED" w:rsidP="00235AB1">
            <w:pPr>
              <w:rPr>
                <w:b/>
              </w:rPr>
            </w:pPr>
            <w:r w:rsidRPr="00DB05ED">
              <w:rPr>
                <w:b/>
              </w:rPr>
              <w:t>Analytical Procedures</w:t>
            </w:r>
          </w:p>
        </w:tc>
        <w:tc>
          <w:tcPr>
            <w:tcW w:w="10350" w:type="dxa"/>
          </w:tcPr>
          <w:p w:rsidR="00DB05ED" w:rsidRDefault="00DB05ED" w:rsidP="00235AB1">
            <w:pPr>
              <w:rPr>
                <w:rFonts w:ascii="Verdana" w:hAnsi="Verdana" w:cs="Arial"/>
                <w:color w:val="000000"/>
                <w:sz w:val="19"/>
                <w:szCs w:val="19"/>
              </w:rPr>
            </w:pPr>
            <w:r>
              <w:rPr>
                <w:rFonts w:ascii="Verdana" w:hAnsi="Verdana" w:cs="Arial"/>
                <w:color w:val="000000"/>
                <w:sz w:val="19"/>
                <w:szCs w:val="19"/>
              </w:rPr>
              <w:t>Analytical procedures consist of evaluations of financial information made by a study of plausible relationships among both financial and nonfinancial data. Analytical procedures also encompass the investigation of significant differences from expected amounts.</w:t>
            </w:r>
          </w:p>
          <w:p w:rsidR="00D34473" w:rsidRDefault="00D34473" w:rsidP="00235AB1"/>
        </w:tc>
        <w:tc>
          <w:tcPr>
            <w:tcW w:w="1710" w:type="dxa"/>
            <w:tcBorders>
              <w:top w:val="nil"/>
              <w:bottom w:val="nil"/>
            </w:tcBorders>
          </w:tcPr>
          <w:p w:rsidR="00DB05ED" w:rsidRDefault="00DB05ED" w:rsidP="00235AB1">
            <w:pPr>
              <w:rPr>
                <w:rFonts w:ascii="Verdana" w:hAnsi="Verdana" w:cs="Arial"/>
                <w:color w:val="000000"/>
                <w:sz w:val="19"/>
                <w:szCs w:val="19"/>
              </w:rPr>
            </w:pPr>
          </w:p>
        </w:tc>
        <w:bookmarkStart w:id="0" w:name="_GoBack"/>
        <w:bookmarkEnd w:id="0"/>
      </w:tr>
      <w:tr w:rsidR="00DB05ED" w:rsidTr="005D1E85">
        <w:tc>
          <w:tcPr>
            <w:tcW w:w="2250" w:type="dxa"/>
          </w:tcPr>
          <w:p w:rsidR="00DB05ED" w:rsidRPr="00DB05ED" w:rsidRDefault="00DB05ED" w:rsidP="00013E0A">
            <w:pPr>
              <w:rPr>
                <w:b/>
              </w:rPr>
            </w:pPr>
            <w:r w:rsidRPr="00DB05ED">
              <w:rPr>
                <w:b/>
              </w:rPr>
              <w:t>Inspection</w:t>
            </w:r>
          </w:p>
        </w:tc>
        <w:tc>
          <w:tcPr>
            <w:tcW w:w="10350" w:type="dxa"/>
          </w:tcPr>
          <w:p w:rsidR="00DB05ED" w:rsidRDefault="00DB05ED" w:rsidP="00013E0A">
            <w:pPr>
              <w:rPr>
                <w:rFonts w:ascii="Verdana" w:hAnsi="Verdana" w:cs="Arial"/>
                <w:color w:val="000000"/>
                <w:sz w:val="19"/>
                <w:szCs w:val="19"/>
              </w:rPr>
            </w:pPr>
            <w:r>
              <w:rPr>
                <w:rFonts w:ascii="Verdana" w:hAnsi="Verdana" w:cs="Arial"/>
                <w:color w:val="000000"/>
                <w:sz w:val="19"/>
                <w:szCs w:val="19"/>
              </w:rPr>
              <w:t>Inspection involves examining records or documents, whether internal or external, in paper form, electronic form, or other media, or physically examining an asset. Inspection of records and documents provides audit evidence of varying degrees of reliability, depending on their nature and source and, in the case of internal records and documents, on the effectiveness of the controls over their production. An example of inspection used as a test of controls is inspection of records for evidence of authorization.</w:t>
            </w:r>
          </w:p>
          <w:p w:rsidR="00D34473" w:rsidRDefault="00D34473" w:rsidP="00013E0A"/>
        </w:tc>
        <w:tc>
          <w:tcPr>
            <w:tcW w:w="1710" w:type="dxa"/>
            <w:tcBorders>
              <w:top w:val="nil"/>
              <w:bottom w:val="nil"/>
            </w:tcBorders>
          </w:tcPr>
          <w:p w:rsidR="00DB05ED" w:rsidRDefault="00DB05ED" w:rsidP="00013E0A">
            <w:pPr>
              <w:rPr>
                <w:rFonts w:ascii="Verdana" w:hAnsi="Verdana" w:cs="Arial"/>
                <w:color w:val="000000"/>
                <w:sz w:val="19"/>
                <w:szCs w:val="19"/>
              </w:rPr>
            </w:pPr>
          </w:p>
        </w:tc>
      </w:tr>
      <w:tr w:rsidR="00DB05ED" w:rsidTr="005D1E85">
        <w:tc>
          <w:tcPr>
            <w:tcW w:w="2250" w:type="dxa"/>
          </w:tcPr>
          <w:p w:rsidR="00DB05ED" w:rsidRPr="00DB05ED" w:rsidRDefault="00DB05ED" w:rsidP="00013E0A">
            <w:pPr>
              <w:rPr>
                <w:b/>
              </w:rPr>
            </w:pPr>
            <w:r w:rsidRPr="00DB05ED">
              <w:rPr>
                <w:b/>
              </w:rPr>
              <w:t>Observation</w:t>
            </w:r>
          </w:p>
        </w:tc>
        <w:tc>
          <w:tcPr>
            <w:tcW w:w="10350" w:type="dxa"/>
          </w:tcPr>
          <w:p w:rsidR="00DB05ED" w:rsidRDefault="00DB05ED" w:rsidP="00013E0A">
            <w:pPr>
              <w:rPr>
                <w:rFonts w:ascii="Verdana" w:hAnsi="Verdana" w:cs="Arial"/>
                <w:color w:val="000000"/>
                <w:sz w:val="19"/>
                <w:szCs w:val="19"/>
              </w:rPr>
            </w:pPr>
            <w:r>
              <w:rPr>
                <w:rFonts w:ascii="Verdana" w:hAnsi="Verdana" w:cs="Arial"/>
                <w:color w:val="000000"/>
                <w:sz w:val="19"/>
                <w:szCs w:val="19"/>
              </w:rPr>
              <w:t>Observation consists of looking at a process or procedure being performed by others, e.g., the auditor's observation of inventory counting by the company's personnel or the performance of control activities. Observation can provide audit evidence about the performance of a process or procedure, but the evidence is limited to the point in time at which the observation takes place and also is limited by the fact that the act of being observed may affect how the process or procedure is performed.</w:t>
            </w:r>
          </w:p>
          <w:p w:rsidR="00D34473" w:rsidRDefault="00D34473" w:rsidP="00013E0A"/>
        </w:tc>
        <w:tc>
          <w:tcPr>
            <w:tcW w:w="1710" w:type="dxa"/>
            <w:tcBorders>
              <w:top w:val="nil"/>
              <w:bottom w:val="nil"/>
            </w:tcBorders>
          </w:tcPr>
          <w:p w:rsidR="00DB05ED" w:rsidRDefault="00DB05ED" w:rsidP="00013E0A">
            <w:pPr>
              <w:rPr>
                <w:rFonts w:ascii="Verdana" w:hAnsi="Verdana" w:cs="Arial"/>
                <w:color w:val="000000"/>
                <w:sz w:val="19"/>
                <w:szCs w:val="19"/>
              </w:rPr>
            </w:pPr>
          </w:p>
        </w:tc>
      </w:tr>
      <w:tr w:rsidR="00DB05ED" w:rsidTr="005D1E85">
        <w:tc>
          <w:tcPr>
            <w:tcW w:w="2250" w:type="dxa"/>
          </w:tcPr>
          <w:p w:rsidR="00DB05ED" w:rsidRPr="00DB05ED" w:rsidRDefault="00DB05ED" w:rsidP="00013E0A">
            <w:pPr>
              <w:rPr>
                <w:b/>
              </w:rPr>
            </w:pPr>
            <w:r w:rsidRPr="00DB05ED">
              <w:rPr>
                <w:b/>
              </w:rPr>
              <w:t xml:space="preserve">Inquiry </w:t>
            </w:r>
          </w:p>
        </w:tc>
        <w:tc>
          <w:tcPr>
            <w:tcW w:w="10350" w:type="dxa"/>
          </w:tcPr>
          <w:p w:rsidR="00DB05ED" w:rsidRDefault="00DB05ED" w:rsidP="00FA7BD8">
            <w:pPr>
              <w:rPr>
                <w:rFonts w:ascii="Verdana" w:hAnsi="Verdana" w:cs="Arial"/>
                <w:color w:val="000000"/>
                <w:sz w:val="19"/>
                <w:szCs w:val="19"/>
              </w:rPr>
            </w:pPr>
            <w:r>
              <w:rPr>
                <w:rFonts w:ascii="Verdana" w:hAnsi="Verdana" w:cs="Arial"/>
                <w:color w:val="000000"/>
                <w:sz w:val="19"/>
                <w:szCs w:val="19"/>
              </w:rPr>
              <w:t>Inquiry consists of seeking information from knowledgeable persons in financial or nonfinancial roles within the company or outside the company. Inquiry may be performed throughout the audit in addition to other audit procedures. Inquiries may range from formal written inquiries to informal oral inquiries. Evaluating responses to inquiries is an integ</w:t>
            </w:r>
            <w:r>
              <w:rPr>
                <w:rFonts w:ascii="Verdana" w:hAnsi="Verdana" w:cs="Arial"/>
                <w:color w:val="000000"/>
                <w:sz w:val="19"/>
                <w:szCs w:val="19"/>
              </w:rPr>
              <w:t>ral part of the inquiry process.</w:t>
            </w:r>
          </w:p>
          <w:p w:rsidR="00DB05ED" w:rsidRDefault="00DB05ED" w:rsidP="00FA7BD8">
            <w:pPr>
              <w:rPr>
                <w:rFonts w:ascii="Verdana" w:hAnsi="Verdana" w:cs="Arial"/>
                <w:color w:val="000000"/>
                <w:sz w:val="19"/>
                <w:szCs w:val="19"/>
              </w:rPr>
            </w:pPr>
            <w:r>
              <w:rPr>
                <w:rFonts w:ascii="Verdana" w:hAnsi="Verdana" w:cs="Arial"/>
                <w:color w:val="000000"/>
                <w:sz w:val="19"/>
                <w:szCs w:val="19"/>
              </w:rPr>
              <w:t xml:space="preserve"> </w:t>
            </w:r>
          </w:p>
          <w:p w:rsidR="00DB05ED" w:rsidRPr="005D1E85" w:rsidRDefault="00DB05ED" w:rsidP="00FA7BD8">
            <w:pPr>
              <w:rPr>
                <w:rFonts w:ascii="Verdana" w:hAnsi="Verdana" w:cs="Arial"/>
                <w:i/>
                <w:color w:val="000000"/>
                <w:sz w:val="19"/>
                <w:szCs w:val="19"/>
              </w:rPr>
            </w:pPr>
            <w:r w:rsidRPr="005D1E85">
              <w:rPr>
                <w:rFonts w:ascii="Verdana" w:hAnsi="Verdana" w:cs="Arial"/>
                <w:b/>
                <w:i/>
                <w:color w:val="000000"/>
                <w:sz w:val="19"/>
                <w:szCs w:val="19"/>
              </w:rPr>
              <w:t>Note</w:t>
            </w:r>
            <w:r w:rsidRPr="005D1E85">
              <w:rPr>
                <w:rFonts w:ascii="Verdana" w:hAnsi="Verdana" w:cs="Arial"/>
                <w:i/>
                <w:color w:val="000000"/>
                <w:sz w:val="19"/>
                <w:szCs w:val="19"/>
              </w:rPr>
              <w:t xml:space="preserve">:   Inquiry of company personnel, by itself, does not provide sufficient audit evidence to reduce audit risk to an appropriately low level for a relevant assertion or to support a conclusion about the effectiveness of a control. </w:t>
            </w:r>
          </w:p>
          <w:p w:rsidR="00D34473" w:rsidRPr="00FA7BD8" w:rsidRDefault="00D34473" w:rsidP="00FA7BD8">
            <w:pPr>
              <w:rPr>
                <w:rFonts w:ascii="Verdana" w:hAnsi="Verdana" w:cs="Arial"/>
                <w:color w:val="000000"/>
                <w:sz w:val="19"/>
                <w:szCs w:val="19"/>
              </w:rPr>
            </w:pPr>
          </w:p>
        </w:tc>
        <w:tc>
          <w:tcPr>
            <w:tcW w:w="1710" w:type="dxa"/>
            <w:tcBorders>
              <w:top w:val="nil"/>
            </w:tcBorders>
          </w:tcPr>
          <w:p w:rsidR="00DB05ED" w:rsidRDefault="005D1E85" w:rsidP="00FA7BD8">
            <w:pPr>
              <w:rPr>
                <w:rFonts w:ascii="Verdana" w:hAnsi="Verdana" w:cs="Arial"/>
                <w:color w:val="000000"/>
                <w:sz w:val="19"/>
                <w:szCs w:val="19"/>
              </w:rPr>
            </w:pPr>
            <w:r w:rsidRPr="005D1E85">
              <w:rPr>
                <w:b/>
                <w:i/>
                <w:noProof/>
                <w:color w:val="FFFFFF" w:themeColor="background1"/>
              </w:rPr>
              <mc:AlternateContent>
                <mc:Choice Requires="wps">
                  <w:drawing>
                    <wp:anchor distT="0" distB="0" distL="114300" distR="114300" simplePos="0" relativeHeight="251666432" behindDoc="0" locked="0" layoutInCell="1" allowOverlap="1" wp14:anchorId="548A722A" wp14:editId="5E4A9790">
                      <wp:simplePos x="0" y="0"/>
                      <wp:positionH relativeFrom="column">
                        <wp:posOffset>-1905</wp:posOffset>
                      </wp:positionH>
                      <wp:positionV relativeFrom="paragraph">
                        <wp:posOffset>785495</wp:posOffset>
                      </wp:positionV>
                      <wp:extent cx="923925" cy="295275"/>
                      <wp:effectExtent l="0" t="0" r="0" b="0"/>
                      <wp:wrapNone/>
                      <wp:docPr id="3" name="Text Box 3"/>
                      <wp:cNvGraphicFramePr/>
                      <a:graphic xmlns:a="http://schemas.openxmlformats.org/drawingml/2006/main">
                        <a:graphicData uri="http://schemas.microsoft.com/office/word/2010/wordprocessingShape">
                          <wps:wsp>
                            <wps:cNvSpPr txBox="1"/>
                            <wps:spPr>
                              <a:xfrm>
                                <a:off x="0" y="0"/>
                                <a:ext cx="923925" cy="295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B05ED" w:rsidRPr="00DB05ED" w:rsidRDefault="00DB05ED" w:rsidP="00DB05ED">
                                  <w:pPr>
                                    <w:jc w:val="center"/>
                                    <w:rPr>
                                      <w:b/>
                                      <w:color w:val="0070C0"/>
                                    </w:rPr>
                                  </w:pPr>
                                  <w:r>
                                    <w:rPr>
                                      <w:b/>
                                      <w:color w:val="0070C0"/>
                                    </w:rPr>
                                    <w:t>Weaker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27" type="#_x0000_t202" style="position:absolute;margin-left:-.15pt;margin-top:61.85pt;width:72.75pt;height:23.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ThbqfQIAAGEFAAAOAAAAZHJzL2Uyb0RvYy54bWysVN9v2jAQfp+0/8Hy+xoIpR2ooWKtmCah&#10;thpMfTaOXaLZPs82JOyv79lJKGJ76bSX5Hz33ef76ZvbRiuyF85XYAo6vBhQIgyHsjIvBf2xXnz6&#10;TIkPzJRMgREFPQhPb2cfP9zUdipy2IIqhSNIYvy0tgXdhmCnWeb5VmjmL8AKg0YJTrOAR/eSlY7V&#10;yK5Vlg8GV1kNrrQOuPAetfetkc4Sv5SCh0cpvQhEFRRjC+nr0ncTv9nshk1fHLPbindhsH+IQrPK&#10;4KVHqnsWGNm56g8qXXEHHmS44KAzkLLiIuWA2QwHZ9mstsyKlAsWx9tjmfz/o+UP+ydHqrKgI0oM&#10;09iitWgC+QINGcXq1NZPEbSyCAsNqrHLvd6jMibdSKfjH9MhaMc6H461jWQclZN8NMnHlHA05ZNx&#10;fj2OLNmbs3U+fBWgSRQK6rB1qaJsv/ShhfaQeJeBRaVUap8ypC7o1Wg8SA5HC5IrE7EiDUJHExNq&#10;A09SOCgRMcp8FxILkeKPijSC4k45smc4PIxzYUJKPfEiOqIkBvEexw7/FtV7nNs8+pvBhKOzrgy4&#10;lP1Z2OXPPmTZ4rHmJ3lHMTSbpmv0BsoD9tlBuyfe8kWF3VgyH56Yw8XA1uKyh0f8SAVYdegkSrbg&#10;fv9NH/E4r2ilpMZFK6j/tWNOUKK+GZzkyfDyMm5mOlyOr3M8uFPL5tRidvoOsB1DfFYsT2LEB9WL&#10;0oF+xjdhHm9FEzMc7y5o6MW70K4/vilczOcJhLtoWVialeWROnYnztq6eWbOdgMZcJIfoF9JNj2b&#10;yxYbPQ3MdwFklYY2Fritald43OM09t2bEx+K03NCvb2Ms1cAAAD//wMAUEsDBBQABgAIAAAAIQA3&#10;m7nB4QAAAAkBAAAPAAAAZHJzL2Rvd25yZXYueG1sTI9BT8MwDIXvSPyHyEjctpSMsak0naZKExKC&#10;w8Yu3NzGaysapzTZVvj1ZKdxs/2enr+XrUbbiRMNvnWs4WGagCCunGm51rD/2EyWIHxANtg5Jg0/&#10;5GGV395kmBp35i2ddqEWMYR9ihqaEPpUSl81ZNFPXU8ctYMbLIa4DrU0A55juO2kSpInabHl+KHB&#10;noqGqq/d0Wp4LTbvuC2VXf52xcvbYd1/7z/nWt/fjetnEIHGcDXDBT+iQx6ZSndk40WnYTKLxnhW&#10;swWIi/44VyDKOCwSBTLP5P8G+R8AAAD//wMAUEsBAi0AFAAGAAgAAAAhALaDOJL+AAAA4QEAABMA&#10;AAAAAAAAAAAAAAAAAAAAAFtDb250ZW50X1R5cGVzXS54bWxQSwECLQAUAAYACAAAACEAOP0h/9YA&#10;AACUAQAACwAAAAAAAAAAAAAAAAAvAQAAX3JlbHMvLnJlbHNQSwECLQAUAAYACAAAACEANE4W6n0C&#10;AABhBQAADgAAAAAAAAAAAAAAAAAuAgAAZHJzL2Uyb0RvYy54bWxQSwECLQAUAAYACAAAACEAN5u5&#10;weEAAAAJAQAADwAAAAAAAAAAAAAAAADXBAAAZHJzL2Rvd25yZXYueG1sUEsFBgAAAAAEAAQA8wAA&#10;AOUFAAAAAA==&#10;" filled="f" stroked="f" strokeweight=".5pt">
                      <v:textbox>
                        <w:txbxContent>
                          <w:p w:rsidR="00DB05ED" w:rsidRPr="00DB05ED" w:rsidRDefault="00DB05ED" w:rsidP="00DB05ED">
                            <w:pPr>
                              <w:jc w:val="center"/>
                              <w:rPr>
                                <w:b/>
                                <w:color w:val="0070C0"/>
                              </w:rPr>
                            </w:pPr>
                            <w:r>
                              <w:rPr>
                                <w:b/>
                                <w:color w:val="0070C0"/>
                              </w:rPr>
                              <w:t>Weaker</w:t>
                            </w:r>
                          </w:p>
                        </w:txbxContent>
                      </v:textbox>
                    </v:shape>
                  </w:pict>
                </mc:Fallback>
              </mc:AlternateContent>
            </w:r>
          </w:p>
        </w:tc>
      </w:tr>
    </w:tbl>
    <w:p w:rsidR="009454B7" w:rsidRDefault="009454B7" w:rsidP="00FA7BD8"/>
    <w:sectPr w:rsidR="009454B7" w:rsidSect="006120FD">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5D1C4B"/>
    <w:multiLevelType w:val="hybridMultilevel"/>
    <w:tmpl w:val="4D6C7A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CCF07DB"/>
    <w:multiLevelType w:val="hybridMultilevel"/>
    <w:tmpl w:val="022C92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1506F42"/>
    <w:multiLevelType w:val="hybridMultilevel"/>
    <w:tmpl w:val="2F2E783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E69635D"/>
    <w:multiLevelType w:val="hybridMultilevel"/>
    <w:tmpl w:val="77160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8705A92"/>
    <w:multiLevelType w:val="hybridMultilevel"/>
    <w:tmpl w:val="A044C4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696168"/>
    <w:multiLevelType w:val="hybridMultilevel"/>
    <w:tmpl w:val="4252C5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7ED038A9"/>
    <w:multiLevelType w:val="multilevel"/>
    <w:tmpl w:val="D4E84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4"/>
  </w:num>
  <w:num w:numId="3">
    <w:abstractNumId w:val="2"/>
  </w:num>
  <w:num w:numId="4">
    <w:abstractNumId w:val="5"/>
  </w:num>
  <w:num w:numId="5">
    <w:abstractNumId w:val="1"/>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4B7"/>
    <w:rsid w:val="00013E0A"/>
    <w:rsid w:val="000539EA"/>
    <w:rsid w:val="001B12D7"/>
    <w:rsid w:val="002148F8"/>
    <w:rsid w:val="0031585B"/>
    <w:rsid w:val="0044180B"/>
    <w:rsid w:val="00442A68"/>
    <w:rsid w:val="00552B0F"/>
    <w:rsid w:val="005D1E85"/>
    <w:rsid w:val="005F5615"/>
    <w:rsid w:val="006120FD"/>
    <w:rsid w:val="00727716"/>
    <w:rsid w:val="009454B7"/>
    <w:rsid w:val="00B829B3"/>
    <w:rsid w:val="00CE61DB"/>
    <w:rsid w:val="00D34473"/>
    <w:rsid w:val="00DB05ED"/>
    <w:rsid w:val="00FA7B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454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454B7"/>
    <w:pPr>
      <w:ind w:left="720"/>
      <w:contextualSpacing/>
    </w:pPr>
  </w:style>
  <w:style w:type="character" w:styleId="Hyperlink">
    <w:name w:val="Hyperlink"/>
    <w:basedOn w:val="DefaultParagraphFont"/>
    <w:uiPriority w:val="99"/>
    <w:semiHidden/>
    <w:unhideWhenUsed/>
    <w:rsid w:val="00FA7BD8"/>
    <w:rPr>
      <w:strike w:val="0"/>
      <w:dstrike w:val="0"/>
      <w:color w:val="3E586E"/>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454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454B7"/>
    <w:pPr>
      <w:ind w:left="720"/>
      <w:contextualSpacing/>
    </w:pPr>
  </w:style>
  <w:style w:type="character" w:styleId="Hyperlink">
    <w:name w:val="Hyperlink"/>
    <w:basedOn w:val="DefaultParagraphFont"/>
    <w:uiPriority w:val="99"/>
    <w:semiHidden/>
    <w:unhideWhenUsed/>
    <w:rsid w:val="00FA7BD8"/>
    <w:rPr>
      <w:strike w:val="0"/>
      <w:dstrike w:val="0"/>
      <w:color w:val="3E586E"/>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2046924">
      <w:bodyDiv w:val="1"/>
      <w:marLeft w:val="0"/>
      <w:marRight w:val="0"/>
      <w:marTop w:val="0"/>
      <w:marBottom w:val="0"/>
      <w:divBdr>
        <w:top w:val="none" w:sz="0" w:space="0" w:color="auto"/>
        <w:left w:val="none" w:sz="0" w:space="0" w:color="auto"/>
        <w:bottom w:val="none" w:sz="0" w:space="0" w:color="auto"/>
        <w:right w:val="none" w:sz="0" w:space="0" w:color="auto"/>
      </w:divBdr>
      <w:divsChild>
        <w:div w:id="54858641">
          <w:marLeft w:val="0"/>
          <w:marRight w:val="0"/>
          <w:marTop w:val="0"/>
          <w:marBottom w:val="0"/>
          <w:divBdr>
            <w:top w:val="none" w:sz="0" w:space="0" w:color="auto"/>
            <w:left w:val="none" w:sz="0" w:space="0" w:color="auto"/>
            <w:bottom w:val="none" w:sz="0" w:space="0" w:color="auto"/>
            <w:right w:val="none" w:sz="0" w:space="0" w:color="auto"/>
          </w:divBdr>
          <w:divsChild>
            <w:div w:id="517280277">
              <w:marLeft w:val="0"/>
              <w:marRight w:val="0"/>
              <w:marTop w:val="0"/>
              <w:marBottom w:val="0"/>
              <w:divBdr>
                <w:top w:val="none" w:sz="0" w:space="0" w:color="auto"/>
                <w:left w:val="none" w:sz="0" w:space="0" w:color="auto"/>
                <w:bottom w:val="none" w:sz="0" w:space="0" w:color="auto"/>
                <w:right w:val="none" w:sz="0" w:space="0" w:color="auto"/>
              </w:divBdr>
              <w:divsChild>
                <w:div w:id="70085947">
                  <w:marLeft w:val="0"/>
                  <w:marRight w:val="0"/>
                  <w:marTop w:val="0"/>
                  <w:marBottom w:val="0"/>
                  <w:divBdr>
                    <w:top w:val="none" w:sz="0" w:space="0" w:color="auto"/>
                    <w:left w:val="none" w:sz="0" w:space="0" w:color="auto"/>
                    <w:bottom w:val="none" w:sz="0" w:space="0" w:color="auto"/>
                    <w:right w:val="none" w:sz="0" w:space="0" w:color="auto"/>
                  </w:divBdr>
                  <w:divsChild>
                    <w:div w:id="621108858">
                      <w:marLeft w:val="0"/>
                      <w:marRight w:val="0"/>
                      <w:marTop w:val="0"/>
                      <w:marBottom w:val="0"/>
                      <w:divBdr>
                        <w:top w:val="none" w:sz="0" w:space="0" w:color="auto"/>
                        <w:left w:val="none" w:sz="0" w:space="0" w:color="auto"/>
                        <w:bottom w:val="none" w:sz="0" w:space="0" w:color="auto"/>
                        <w:right w:val="none" w:sz="0" w:space="0" w:color="auto"/>
                      </w:divBdr>
                      <w:divsChild>
                        <w:div w:id="680199563">
                          <w:marLeft w:val="0"/>
                          <w:marRight w:val="0"/>
                          <w:marTop w:val="0"/>
                          <w:marBottom w:val="0"/>
                          <w:divBdr>
                            <w:top w:val="none" w:sz="0" w:space="0" w:color="auto"/>
                            <w:left w:val="none" w:sz="0" w:space="0" w:color="auto"/>
                            <w:bottom w:val="none" w:sz="0" w:space="0" w:color="auto"/>
                            <w:right w:val="none" w:sz="0" w:space="0" w:color="auto"/>
                          </w:divBdr>
                          <w:divsChild>
                            <w:div w:id="1134181771">
                              <w:blockQuote w:val="1"/>
                              <w:marLeft w:val="60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7822784">
      <w:bodyDiv w:val="1"/>
      <w:marLeft w:val="0"/>
      <w:marRight w:val="0"/>
      <w:marTop w:val="0"/>
      <w:marBottom w:val="0"/>
      <w:divBdr>
        <w:top w:val="none" w:sz="0" w:space="0" w:color="auto"/>
        <w:left w:val="none" w:sz="0" w:space="0" w:color="auto"/>
        <w:bottom w:val="none" w:sz="0" w:space="0" w:color="auto"/>
        <w:right w:val="none" w:sz="0" w:space="0" w:color="auto"/>
      </w:divBdr>
      <w:divsChild>
        <w:div w:id="671300050">
          <w:marLeft w:val="0"/>
          <w:marRight w:val="0"/>
          <w:marTop w:val="0"/>
          <w:marBottom w:val="0"/>
          <w:divBdr>
            <w:top w:val="none" w:sz="0" w:space="0" w:color="auto"/>
            <w:left w:val="none" w:sz="0" w:space="0" w:color="auto"/>
            <w:bottom w:val="none" w:sz="0" w:space="0" w:color="auto"/>
            <w:right w:val="none" w:sz="0" w:space="0" w:color="auto"/>
          </w:divBdr>
          <w:divsChild>
            <w:div w:id="703940938">
              <w:marLeft w:val="0"/>
              <w:marRight w:val="0"/>
              <w:marTop w:val="0"/>
              <w:marBottom w:val="0"/>
              <w:divBdr>
                <w:top w:val="none" w:sz="0" w:space="0" w:color="auto"/>
                <w:left w:val="none" w:sz="0" w:space="0" w:color="auto"/>
                <w:bottom w:val="none" w:sz="0" w:space="0" w:color="auto"/>
                <w:right w:val="none" w:sz="0" w:space="0" w:color="auto"/>
              </w:divBdr>
              <w:divsChild>
                <w:div w:id="1496536258">
                  <w:marLeft w:val="0"/>
                  <w:marRight w:val="0"/>
                  <w:marTop w:val="0"/>
                  <w:marBottom w:val="0"/>
                  <w:divBdr>
                    <w:top w:val="none" w:sz="0" w:space="0" w:color="auto"/>
                    <w:left w:val="none" w:sz="0" w:space="0" w:color="auto"/>
                    <w:bottom w:val="none" w:sz="0" w:space="0" w:color="auto"/>
                    <w:right w:val="none" w:sz="0" w:space="0" w:color="auto"/>
                  </w:divBdr>
                  <w:divsChild>
                    <w:div w:id="504443539">
                      <w:marLeft w:val="0"/>
                      <w:marRight w:val="0"/>
                      <w:marTop w:val="0"/>
                      <w:marBottom w:val="0"/>
                      <w:divBdr>
                        <w:top w:val="none" w:sz="0" w:space="0" w:color="auto"/>
                        <w:left w:val="none" w:sz="0" w:space="0" w:color="auto"/>
                        <w:bottom w:val="none" w:sz="0" w:space="0" w:color="auto"/>
                        <w:right w:val="none" w:sz="0" w:space="0" w:color="auto"/>
                      </w:divBdr>
                      <w:divsChild>
                        <w:div w:id="1383867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378</Words>
  <Characters>2160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 Shofner</dc:creator>
  <cp:lastModifiedBy>Steve Shofner</cp:lastModifiedBy>
  <cp:revision>5</cp:revision>
  <dcterms:created xsi:type="dcterms:W3CDTF">2013-08-28T15:30:00Z</dcterms:created>
  <dcterms:modified xsi:type="dcterms:W3CDTF">2013-08-28T15:43:00Z</dcterms:modified>
</cp:coreProperties>
</file>